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7EE7F3E-774B-454D-A346-FDDB8604BB6E" style="width:455.25pt;height:507.75pt">
            <v:imagedata r:id="rId14" o:title=""/>
          </v:shape>
        </w:pict>
      </w:r>
    </w:p>
    <w:bookmarkEnd w:id="0"/>
    <w:p>
      <w:pPr>
        <w:rPr>
          <w:noProof/>
        </w:rPr>
        <w:sectPr>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pPr>
        <w:pStyle w:val="Heading1"/>
        <w:rPr>
          <w:noProof/>
        </w:rPr>
      </w:pPr>
      <w:r>
        <w:rPr>
          <w:noProof/>
        </w:rPr>
        <w:lastRenderedPageBreak/>
        <w:t>Contexte</w:t>
      </w:r>
    </w:p>
    <w:p>
      <w:pPr>
        <w:pStyle w:val="Text1"/>
        <w:ind w:left="0"/>
        <w:rPr>
          <w:noProof/>
        </w:rPr>
      </w:pPr>
      <w:r>
        <w:rPr>
          <w:noProof/>
        </w:rPr>
        <w:t>L’Autorité européenne du travail (AET) a été créée en 2019 pour aider les États membres de l’Union européenne et la Commission européenne à faire respecter les règles de l’Union en matière de mobilité de la main-d’œuvre et de coordination de la sécurité sociale. Ses tâches principales consistent à faciliter la coopération et l’échange d’informations, à assurer la médiation en cas de différends transfrontières, à coordonner des inspections du travail concertées et communes, et à gérer le bureau européen de coordination du réseau européen des services de l’emploi (EURES).</w:t>
      </w:r>
    </w:p>
    <w:p>
      <w:pPr>
        <w:pStyle w:val="Text1"/>
        <w:ind w:left="0"/>
        <w:rPr>
          <w:noProof/>
        </w:rPr>
      </w:pPr>
      <w:r>
        <w:rPr>
          <w:noProof/>
        </w:rPr>
        <w:t>La mobilité au sein de l’Union joue un rôle essentiel dans le fonctionnement du marché unique. À l’heure actuelle, environ 14 millions de citoyens de l’Union, ainsi que 1,9 million de travailleurs transfrontières et 3,64 millions de travailleurs détachés, vivent ou travaillent dans un autre État membre à long terme. En outre, les marchés du travail de l’Union sont de plus en plus complexes en raison de la dépendance croissante à l’égard des ressortissants de pays tiers pour atténuer les pénuries généralisées de main-d’œuvre et de compétences. En 2024, l’Union comptait environ 20,7 millions de ressortissants de pays tiers en âge de travailler, ce qui représente environ 8 % de la population totale en âge de travailler.</w:t>
      </w:r>
    </w:p>
    <w:p>
      <w:pPr>
        <w:pStyle w:val="Text1"/>
        <w:ind w:left="0"/>
        <w:rPr>
          <w:noProof/>
        </w:rPr>
      </w:pPr>
      <w:r>
        <w:rPr>
          <w:noProof/>
        </w:rPr>
        <w:t>L’évaluation de l’AET réalisée par la Commission en 2025 a souligné que l’Autorité comble une lacune et répond à un besoin de soutien opérationnel autrement non satisfait dans la mise en œuvre des politiques de l’Union liées à la mobilité de la main-d’œuvre dans l’Union.</w:t>
      </w:r>
    </w:p>
    <w:p>
      <w:pPr>
        <w:pStyle w:val="Text1"/>
        <w:ind w:left="0"/>
        <w:rPr>
          <w:noProof/>
        </w:rPr>
      </w:pPr>
      <w:r>
        <w:rPr>
          <w:noProof/>
        </w:rPr>
        <w:t>Les éléments soulevés dans l’évaluation qui ne nécessitent pas de modifications législatives sont abordés dans le plan d’action de l’AET, annexé à l’analyse d’impact; la Commission a été étroitement associée à l’élaboration du plan d’action. Toutefois, l’évaluation a également mis en évidence un certain nombre de faiblesses, en constatant que des contraintes structurelles spécifiques dans le cadre juridique actuel limitent la capacité de l’AET à réagir à l’ampleur et à la complexité changeantes de la mobilité transfrontière de la main-d’œuvre. Cette initiative propose une révision ciblée du cadre juridique régissant l’AET afin de veiller à ce qu’elle soit correctement équipée pour soutenir l’application effective des règles de l’Union en matière de mobilité de la main-d’œuvre et pour relever les défis émergents en matière de mobilité transfrontière de la main-d’œuvre.</w:t>
      </w:r>
    </w:p>
    <w:p>
      <w:pPr>
        <w:pStyle w:val="Heading1"/>
        <w:rPr>
          <w:noProof/>
        </w:rPr>
      </w:pPr>
      <w:r>
        <w:rPr>
          <w:noProof/>
        </w:rPr>
        <w:t>Nécessité d’une action de l’Union</w:t>
      </w:r>
    </w:p>
    <w:p>
      <w:pPr>
        <w:pStyle w:val="Heading2"/>
        <w:rPr>
          <w:noProof/>
        </w:rPr>
      </w:pPr>
      <w:r>
        <w:rPr>
          <w:noProof/>
        </w:rPr>
        <w:t>Quel est le problème à résoudre?</w:t>
      </w:r>
    </w:p>
    <w:p>
      <w:pPr>
        <w:pStyle w:val="Text2"/>
        <w:ind w:left="0"/>
        <w:rPr>
          <w:noProof/>
        </w:rPr>
      </w:pPr>
      <w:r>
        <w:rPr>
          <w:noProof/>
        </w:rPr>
        <w:t xml:space="preserve">L’actuel règlement relatif à l’AET n’atteint pas pleinement son objectif en raison de plusieurs lacunes structurelles qui nécessitent des ajustements de mandat. Premièrement, il existe une inadéquation entre la demande d’orientations personnalisées et le mandat de l’AET consistant à ne fournir que des informations générales. Ce déficit d’informations touche particulièrement les groupes vulnérables, tels que les ressortissants de pays tiers, qui sont surreprésentés dans les secteurs à haut risque et sont confrontés à un risque accru d’exploitation au travail et de conditions de travail inférieures aux normes. Deuxièmement, le réseau EURES est peu performant et a enregistré une baisse du nombre de placements, qui est passé de plus de 83 000 en 2019 à un peu plus de 48 000 en 2023. L’un des principaux problèmes nuisant à l’efficacité des travaux sur EURES est la fragmentation de la structure de gouvernance du portail EURES, dans le cadre de laquelle l’AET définit les besoins opérationnels tandis que la Commission agit </w:t>
      </w:r>
      <w:r>
        <w:rPr>
          <w:noProof/>
        </w:rPr>
        <w:lastRenderedPageBreak/>
        <w:t>en tant que fournisseur de solutions techniques. Dans le domaine de la coopération et de l’application des règles, l’AET n’a pas de compétence juridique explicite pour traiter des données à caractère personnel ou des informations sur les structures des entreprises. Cela limite l’AET à un rôle réactif, en s’appuyant sur des demandes ad hoc plutôt que sur des renseignements proactifs et fondés sur des données pour lancer des inspections concertées et communes. En outre, le règlement fondateur manque de clarté quant au champ d’application de l’AET en ce qui concerne les droits sociaux et en matière d’emploi des ressortissants de pays tiers. La médiation reste largement sous-utilisée — malgré le nombre élevé de différends transfrontières non résolus signalés par le réseau de résolution des problèmes dans le marché intérieur — parce que la procédure est trop complexe et que les parties peuvent se retirer à tout moment sans justification.</w:t>
      </w:r>
    </w:p>
    <w:p>
      <w:pPr>
        <w:pStyle w:val="Heading2"/>
        <w:rPr>
          <w:noProof/>
        </w:rPr>
      </w:pPr>
      <w:r>
        <w:rPr>
          <w:noProof/>
        </w:rPr>
        <w:t>Quel est l’objectif visé par cette initiative?</w:t>
      </w:r>
    </w:p>
    <w:p>
      <w:pPr>
        <w:pStyle w:val="Text2"/>
        <w:ind w:left="0"/>
        <w:rPr>
          <w:noProof/>
        </w:rPr>
      </w:pPr>
      <w:r>
        <w:rPr>
          <w:noProof/>
        </w:rPr>
        <w:t>L’objectif général de cette initiative est de renforcer la capacité stratégique et opérationnelle de l’AET à aider les États membres et la Commission à appliquer et à faire respecter efficacement le droit de l’Union. Plus précisément, l’initiative vise à 1) améliorer l’accès à l’information et le soutien aux travailleurs (y compris les ressortissants de pays tiers) et aux employeurs; 2) accroître le nombre de particuliers bénéficiant d’un soutien à la mobilité transfrontière et améliorer les résultats en matière de mise en adéquation de l’offre et de la demande d’emplois; 3) améliorer le ciblage et l’efficacité des mesures d’exécution dans les situations transfrontières, y compris les cas concernant des ressortissants de pays tiers; 4) réduire le nombre de différends transfrontières en renforçant l’efficacité de la fonction de médiation.</w:t>
      </w:r>
    </w:p>
    <w:p>
      <w:pPr>
        <w:pStyle w:val="Heading2"/>
        <w:rPr>
          <w:noProof/>
        </w:rPr>
      </w:pPr>
      <w:r>
        <w:rPr>
          <w:noProof/>
        </w:rPr>
        <w:t>Quelle est la valeur ajoutée d’une action à l’échelle de l’Union?</w:t>
      </w:r>
    </w:p>
    <w:p>
      <w:pPr>
        <w:pStyle w:val="Text2"/>
        <w:ind w:left="0"/>
        <w:rPr>
          <w:noProof/>
        </w:rPr>
      </w:pPr>
      <w:r>
        <w:rPr>
          <w:noProof/>
        </w:rPr>
        <w:t>La nature transfrontière inhérente à la mobilité de la main-d’œuvre et à la coordination de la sécurité sociale suppose que les États membres agissant individuellement ne peuvent pas combler suffisamment les lacunes transnationales en matière d’application des règles. Une compréhension commune et consolidée des besoins en matière d’application des règles est essentielle. Les causes des problèmes recensés trouvent leur origine dans les limites du règlement relatif à l’AET; par conséquent, seule une intervention législative à l’échelle de l’Union permettra de doter l’AET des moyens juridiques nécessaires à la réalisation de ses tâches, telles que le traitement des données à caractère personnel.</w:t>
      </w:r>
    </w:p>
    <w:p>
      <w:pPr>
        <w:pStyle w:val="Heading1"/>
        <w:rPr>
          <w:noProof/>
        </w:rPr>
      </w:pPr>
      <w:r>
        <w:rPr>
          <w:noProof/>
        </w:rPr>
        <w:t>Options stratégiques</w:t>
      </w:r>
    </w:p>
    <w:p>
      <w:pPr>
        <w:pStyle w:val="Heading2"/>
        <w:rPr>
          <w:noProof/>
        </w:rPr>
      </w:pPr>
      <w:r>
        <w:rPr>
          <w:noProof/>
        </w:rPr>
        <w:t>Quelles sont les options législatives et non législatives envisagées?</w:t>
      </w:r>
    </w:p>
    <w:p>
      <w:pPr>
        <w:pStyle w:val="Text2"/>
        <w:ind w:left="0"/>
        <w:rPr>
          <w:noProof/>
        </w:rPr>
      </w:pPr>
      <w:r>
        <w:rPr>
          <w:noProof/>
        </w:rPr>
        <w:t>La Commission a évalué différentes options stratégiques dans quatre domaines d’action clés.</w:t>
      </w:r>
    </w:p>
    <w:p>
      <w:pPr>
        <w:pStyle w:val="ListNumber2"/>
        <w:ind w:left="0" w:firstLine="0"/>
        <w:rPr>
          <w:noProof/>
        </w:rPr>
      </w:pPr>
      <w:r>
        <w:rPr>
          <w:noProof/>
        </w:rPr>
        <w:t>Information: parmi les options possibles figuraient la gestion, par l’AET, de subventions destinées à soutenir des réseaux externes de fourniture d’informations et de conseils personnalisés (option 1.1), ou la fourniture directe de ce soutien par l’AET par l’intermédiaire de son propre personnel et de solutions automatisées (option 1.2).</w:t>
      </w:r>
    </w:p>
    <w:p>
      <w:pPr>
        <w:pStyle w:val="ListNumber2"/>
        <w:ind w:left="0" w:firstLine="0"/>
        <w:rPr>
          <w:noProof/>
        </w:rPr>
      </w:pPr>
      <w:r>
        <w:rPr>
          <w:noProof/>
        </w:rPr>
        <w:t>EURES: les options stratégiques envisageables allaient de la réaffectation du président du groupe européen de coordination et de la propriété du système du portail EURES à la Commission (option 2.1) au transfert intégral de toutes les tâches liées à EURES à la Commission (option 2.2), en passant par le transfert intégral de toutes les tâches à l’AET (option 2.3).</w:t>
      </w:r>
    </w:p>
    <w:p>
      <w:pPr>
        <w:pStyle w:val="ListNumber2"/>
        <w:spacing w:line="259" w:lineRule="auto"/>
        <w:ind w:left="0"/>
        <w:rPr>
          <w:noProof/>
        </w:rPr>
      </w:pPr>
      <w:r>
        <w:rPr>
          <w:noProof/>
        </w:rPr>
        <w:lastRenderedPageBreak/>
        <w:tab/>
        <w:t>Coopération et application des règles: les options envisagées confèrent à l’AET la capacité de traiter des données à caractère personnel, en élargissant explicitement son mandat pour soutenir la protection de l’emploi et des droits sociaux des ressortissants de pays tiers, et en maintenant le caractère volontaire des inspections, avec un devoir de coopération renforcé (option 3.1), ou en donnant à l’AET les moyens d’engager et d’imposer de manière autonome des inspections obligatoires (option 3.2). Dans le cadre de l’option 3.1, les sous-options en matière de personnel comprenaient l’utilisation de points de contact locaux (3.1.1), la création d’une réserve détachée d’agents de liaison nationaux (3.1.2) ou le recrutement d’inspecteurs permanents de l’AET (3.1.3). La sous-option 3.1.3 est également incluse dans l’option 3.2.</w:t>
      </w:r>
    </w:p>
    <w:p>
      <w:pPr>
        <w:pStyle w:val="ListNumber2"/>
        <w:ind w:left="0" w:firstLine="0"/>
        <w:rPr>
          <w:noProof/>
        </w:rPr>
      </w:pPr>
      <w:r>
        <w:rPr>
          <w:noProof/>
        </w:rPr>
        <w:t>Médiation: pour réformer le processus de médiation, les différentes options comprennent la simplification de la procédure complexe en plusieurs étapes afin d’encourager le recours volontaire à cette pratique (option 4.1) et l’introduction de conditions plus strictes qui exigeraient des États membres qu’ils fournissent des justifications formelles et étayées de leur non-participation (option 4.2).</w:t>
      </w:r>
    </w:p>
    <w:p>
      <w:pPr>
        <w:pStyle w:val="Heading2"/>
        <w:rPr>
          <w:noProof/>
        </w:rPr>
      </w:pPr>
      <w:r>
        <w:rPr>
          <w:noProof/>
        </w:rPr>
        <w:t>Qui soutient quelle option?</w:t>
      </w:r>
    </w:p>
    <w:p>
      <w:pPr>
        <w:pStyle w:val="Text2"/>
        <w:ind w:left="0"/>
        <w:rPr>
          <w:noProof/>
        </w:rPr>
      </w:pPr>
      <w:r>
        <w:rPr>
          <w:noProof/>
        </w:rPr>
        <w:t>Les autorités nationales sont principalement favorables à une révision «légère» ciblée. Elles reconnaissent la nécessité d’améliorations structurelles en ce qui concerne les compétences en matière de traitement des données, le contrôle des ressortissants de pays tiers et la gouvernance d’EURES, mais soulignent que l’application des règles et les pouvoirs en matière d’inspections obligatoires doivent clairement relever des compétences nationales. Le Parlement européen plaide en faveur d’un renforcement du mandat et de la capacité opérationnelle de l’AET. Plus précisément, le Parlement demande d’étendre le champ d’application de l’AET aux ressortissants de pays tiers, de lui accorder les dispositions juridiques nécessaires pour traiter les données opérationnelles et accéder aux bases de données telles que le système d’information du marché intérieur, et de l’habiliter à engager des inspections transfrontières de sa propre initiative. Le Parlement soutient également la conversion de postes d’experts détachés en postes d’agents temporaires afin d’assurer la continuité institutionnelle. Dans l’ensemble, les organisations patronales plaident en faveur du scénario de base en ce qui concerne les inspections, en mettant en garde contre l’extension des pouvoirs d’exécution de l’AET ou sa transformation en une inspection supranationale, même si elles restent ouvertes à une révision ciblée permettant d’améliorer la fourniture d’informations et de réduire la charge administrative. Les syndicats européens soutiennent fermement les modifications législatives et demandent que l’AET ait accès aux données pertinentes, à des capacités d’inspections proactives et à un mandat élargi couvrant les directives relatives à la migration afin de protéger les travailleurs vulnérables.</w:t>
      </w:r>
    </w:p>
    <w:p>
      <w:pPr>
        <w:pStyle w:val="Heading2"/>
        <w:rPr>
          <w:noProof/>
        </w:rPr>
      </w:pPr>
      <w:r>
        <w:rPr>
          <w:noProof/>
        </w:rPr>
        <w:t>Quelle est l’option privilégiée et quelles sont les raisons de ce choix?</w:t>
      </w:r>
    </w:p>
    <w:p>
      <w:pPr>
        <w:pStyle w:val="Text2"/>
        <w:ind w:left="0"/>
        <w:rPr>
          <w:noProof/>
        </w:rPr>
      </w:pPr>
      <w:r>
        <w:rPr>
          <w:noProof/>
        </w:rPr>
        <w:t>Le choix privilégié est un ensemble de mesures ciblées comprenant les options 1.1, 3.1 (y compris la sous-option 3.1.2) et 4.1.</w:t>
      </w:r>
    </w:p>
    <w:p>
      <w:pPr>
        <w:pStyle w:val="Text2"/>
        <w:ind w:left="0"/>
        <w:rPr>
          <w:noProof/>
        </w:rPr>
      </w:pPr>
      <w:r>
        <w:rPr>
          <w:noProof/>
        </w:rPr>
        <w:t xml:space="preserve">En ce qui concerne la fourniture d’informations, la gestion des subventions destinées à soutenir les réseaux externes (option 1.1) est l’option la plus efficace et la plus proportionnée. Elle tire parti des connaissances locales et sectorielles existantes pour atteindre les groupes vulnérables, y compris les ressortissants de pays tiers, tout en évitant les coûts fixes importants qui résulteraient de la mise en place, par l’AET, de capacités de conseil directes. </w:t>
      </w:r>
    </w:p>
    <w:p>
      <w:pPr>
        <w:pStyle w:val="Text2"/>
        <w:ind w:left="0"/>
        <w:rPr>
          <w:noProof/>
        </w:rPr>
      </w:pPr>
      <w:r>
        <w:rPr>
          <w:noProof/>
        </w:rPr>
        <w:t xml:space="preserve">En ce qui concerne EURES, bien que toutes les options proposées soient techniquement solides, aucune option n’est privilégiée. En effet, en raison de sensibilités politiques complexes, </w:t>
      </w:r>
      <w:r>
        <w:rPr>
          <w:noProof/>
        </w:rPr>
        <w:lastRenderedPageBreak/>
        <w:t>d’incertitudes budgétaires et de facteurs externes imprévisibles, tels que les conflits géopolitiques et les changements démographiques, il est difficile de faire un choix définitif.</w:t>
      </w:r>
    </w:p>
    <w:p>
      <w:pPr>
        <w:pStyle w:val="Text2"/>
        <w:ind w:left="0"/>
        <w:rPr>
          <w:noProof/>
        </w:rPr>
      </w:pPr>
      <w:r>
        <w:rPr>
          <w:noProof/>
        </w:rPr>
        <w:t xml:space="preserve">En ce qui concerne la coopération et l’application des règles, l’option 3.1 établit un équilibre entre l’efficacité et la souveraineté nationale. L’octroi à l’AET de l’accès au traitement des données à caractère personnel pertinentes permettra des inspections proactives fondées sur le renseignement et la prise en considération explicite des droits des ressortissants de pays tiers comblera les lacunes en matière d’application des règles. La sous-option 3.1.2 est privilégiée, car elle établit une réserve spécifique d’inspecteurs détachés qui disposent de connaissances et de réseaux locaux essentiels, offrant une passerelle opérationnelle à un coût raisonnable. </w:t>
      </w:r>
    </w:p>
    <w:p>
      <w:pPr>
        <w:pStyle w:val="Text2"/>
        <w:ind w:left="0"/>
        <w:rPr>
          <w:noProof/>
        </w:rPr>
      </w:pPr>
      <w:r>
        <w:rPr>
          <w:noProof/>
        </w:rPr>
        <w:t xml:space="preserve">La simplification de la médiation (option 4.1) réduit les frictions administratives sans nuire à la confiance mutuelle requise pour le règlement volontaire des différends, ce que des conditions de non-participation plus strictes pourraient menacer. </w:t>
      </w:r>
    </w:p>
    <w:p>
      <w:pPr>
        <w:pStyle w:val="Heading1"/>
        <w:rPr>
          <w:noProof/>
        </w:rPr>
      </w:pPr>
      <w:r>
        <w:rPr>
          <w:noProof/>
        </w:rPr>
        <w:t>Incidences de l’option privilégiée</w:t>
      </w:r>
    </w:p>
    <w:p>
      <w:pPr>
        <w:pStyle w:val="Heading2"/>
        <w:rPr>
          <w:noProof/>
        </w:rPr>
      </w:pPr>
      <w:r>
        <w:rPr>
          <w:noProof/>
        </w:rPr>
        <w:t>Quels sont les avantages de l’option privilégiée?</w:t>
      </w:r>
    </w:p>
    <w:p>
      <w:pPr>
        <w:pStyle w:val="Text2"/>
        <w:ind w:left="0"/>
        <w:rPr>
          <w:noProof/>
        </w:rPr>
      </w:pPr>
      <w:r>
        <w:rPr>
          <w:noProof/>
        </w:rPr>
        <w:t>Les travailleurs, en particulier les ressortissants de pays tiers vulnérables, bénéficieront d’une protection renforcée contre les conditions de travail inférieures aux normes. Grâce à l’utilisation de renseignements fondés sur les données, les inspections concertées et communes deviendront plus ciblées et plus efficaces, ce qui aidera les États membres à faire respecter les normes du travail applicables. En outre, les travailleurs et les demandeurs d’emploi profiteront d’une mobilité transfrontière plus fluide au moyen de réseaux d’information plus clairs et d’une meilleure adéquation de l’offre et de la demande d’emplois grâce à un système EURES plus performant.</w:t>
      </w:r>
    </w:p>
    <w:p>
      <w:pPr>
        <w:pStyle w:val="Text2"/>
        <w:ind w:left="0"/>
        <w:rPr>
          <w:noProof/>
        </w:rPr>
      </w:pPr>
      <w:r>
        <w:rPr>
          <w:noProof/>
        </w:rPr>
        <w:t>Les employeurs bénéficieront d’une réduction des distorsions économiques dues au travail non déclaré et au dumping social. Les entreprises qui respectent les règles, en particulier celles des secteurs fortement internationalisés tels que la construction et les transports, seront exposées à une concurrence déloyale réduite de la part des opérateurs qui exploitent les lacunes en matière d’application des règles. Un meilleur accès à des informations et à des conseils clairs, personnalisés et adaptés réduira les coûts de mise en conformité et de recrutement associés aux opérations transfrontières. Les autorités nationales bénéficieront d’un soutien analytique renforcé, d’une coordination opérationnelle supérieure lors des inspections communes et de procédures de médiation rationalisées qui réduisent la charge des différends administratifs non résolus.</w:t>
      </w:r>
    </w:p>
    <w:p>
      <w:pPr>
        <w:pStyle w:val="Heading2"/>
        <w:rPr>
          <w:noProof/>
        </w:rPr>
      </w:pPr>
      <w:r>
        <w:rPr>
          <w:noProof/>
        </w:rPr>
        <w:t>Quels sont les coûts de l’option privilégiée?</w:t>
      </w:r>
    </w:p>
    <w:p>
      <w:pPr>
        <w:pStyle w:val="Text2"/>
        <w:ind w:left="0"/>
        <w:rPr>
          <w:noProof/>
        </w:rPr>
      </w:pPr>
      <w:r>
        <w:rPr>
          <w:noProof/>
        </w:rPr>
        <w:t xml:space="preserve">L’option privilégiée suppose des augmentations budgétaires ciblées et justifiables. La gestion des réseaux externes d’information et de conseil (option 1.1) nécessitera un budget d’environ 5 millions d’euros par an. Pour EURES, les coûts dépendront de l’option choisie. L’élargissement des opérations d’exécution de l’AET (option 3.1) — qui comprend le recrutement de 13 équivalents temps plein (ETP) pour l’analyse des données et de dix ETP pour couvrir l’extension aux dispositions pertinentes de l’acquis en matière de migration, l’augmentation de 20 % des activités pour pouvoir gérer les activités liées aux ressortissants de pays tiers et le financement des 27 experts nationaux détachés supplémentaires au titre de la sous-option 3.1.2 — générera des coûts additionnels totaux d’environ 10 millions d’euros par an. La simplification de la procédure de médiation (option 4.1) entraînerait des coûts limités et </w:t>
      </w:r>
      <w:r>
        <w:rPr>
          <w:noProof/>
        </w:rPr>
        <w:lastRenderedPageBreak/>
        <w:t>concernerait principalement l’adaptation des procédures internes, ainsi qu’une facilitation renforcée de la coopération et de la médiation.</w:t>
      </w:r>
    </w:p>
    <w:p>
      <w:pPr>
        <w:pStyle w:val="Heading2"/>
        <w:rPr>
          <w:noProof/>
        </w:rPr>
      </w:pPr>
      <w:r>
        <w:rPr>
          <w:noProof/>
        </w:rPr>
        <w:t>Les PME ou les consommateurs seront-ils concernés?</w:t>
      </w:r>
    </w:p>
    <w:p>
      <w:pPr>
        <w:pStyle w:val="Text2"/>
        <w:ind w:left="0"/>
        <w:rPr>
          <w:noProof/>
        </w:rPr>
      </w:pPr>
      <w:r>
        <w:rPr>
          <w:noProof/>
        </w:rPr>
        <w:t>L’initiative n’impose aucune nouvelle obligation de déclaration ni exigence de conformité administrative aux entreprises et a donc une incidence directe neutre sur les coûts. Les coûts pour les petites et moyennes entreprises (PME), qui représentent une large proportion des quelque 3,6 millions d’entreprises cherchant à recruter des travailleurs à l’échelle internationale, pourraient être légèrement réduits. En simplifiant et en améliorant l’accès à des informations adaptées sur les opérations transfrontières et en améliorant les outils de recrutement EURES, l’initiative s’attaque à certains des obstacles qui rendent actuellement les activités transfrontières plus coûteuses pour les PME que les opérations nationales. Ces ajustements du cadre administratif interne ne devraient pas avoir d’incidence sur les consommateurs.</w:t>
      </w:r>
    </w:p>
    <w:p>
      <w:pPr>
        <w:pStyle w:val="Heading2"/>
        <w:rPr>
          <w:noProof/>
        </w:rPr>
      </w:pPr>
      <w:r>
        <w:rPr>
          <w:noProof/>
        </w:rPr>
        <w:t>Y aura-t-il une incidence notable sur les budgets nationaux et les administrations nationales?</w:t>
      </w:r>
    </w:p>
    <w:p>
      <w:pPr>
        <w:pStyle w:val="Text2"/>
        <w:ind w:left="0"/>
        <w:rPr>
          <w:noProof/>
        </w:rPr>
      </w:pPr>
      <w:r>
        <w:rPr>
          <w:noProof/>
        </w:rPr>
        <w:t>L’incidence sur les budgets nationaux sera minime. Les États membres devront faire face à un coût d’opportunité mineur lié au détachement d’un membre du personnel supplémentaire par pays pour constituer la nouvelle réserve d’inspecteurs au sein de l’AET. Toutefois, cela devrait être compensé par les avantages structurels obtenus. Des inspections mieux ciblées et un soutien analytique renforcé permettront de réduire la duplication des efforts et d’alléger la charge d’investigation qui pèse sur les différentes inspections nationales du travail. En outre, des mécanismes de médiation simplifiés réduiront les coûts économiques et administratifs à long terme associés à des différends transfrontières persistants et non résolus.</w:t>
      </w:r>
    </w:p>
    <w:p>
      <w:pPr>
        <w:pStyle w:val="Text1"/>
        <w:ind w:left="0"/>
        <w:rPr>
          <w:noProof/>
        </w:rPr>
      </w:pPr>
    </w:p>
    <w:sectPr>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134" w:right="1418" w:bottom="1134" w:left="1418"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EC Footer - Without Author Data"/>
      <w:tag w:val="SVoGAZ38gakDmzcHmLly90-JTH5LX8azQN37Nf4Xh82U6"/>
      <w:id w:val="118967467"/>
    </w:sdtPr>
    <w:sdtContent>
      <w:p>
        <w:pPr>
          <w:pStyle w:val="Footer"/>
          <w:rPr>
            <w:sz w:val="24"/>
          </w:rPr>
        </w:pPr>
      </w:p>
      <w:p>
        <w:pPr>
          <w:pStyle w:val="Footer"/>
        </w:pPr>
        <w:sdt>
          <w:sdtPr>
            <w:id w:val="580652268"/>
            <w:dataBinding w:xpath="/Author/Addresses/Address[Id = 'f03b5801-04c9-4931-aa17-c6d6c70bc579']/Footer" w:storeItemID="{FFE4E45B-DEA9-44D5-A8CC-A607B546AB0F}"/>
            <w:text w:multiLine="1"/>
          </w:sdtPr>
          <w:sdtContent>
            <w:r>
              <w:t>Commission européenne, 1049 Bruxelles, BELGIQUE — Tél. +32 22991111</w:t>
            </w:r>
          </w:sdtContent>
        </w:sdt>
      </w:p>
      <w:p>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C50AB2A2"/>
    <w:lvl w:ilvl="0">
      <w:start w:val="1"/>
      <w:numFmt w:val="decimal"/>
      <w:lvlText w:val="%1."/>
      <w:lvlJc w:val="left"/>
      <w:pPr>
        <w:tabs>
          <w:tab w:val="num" w:pos="643"/>
        </w:tabs>
        <w:ind w:left="643" w:hanging="360"/>
      </w:pPr>
    </w:lvl>
  </w:abstractNum>
  <w:abstractNum w:abstractNumId="1" w15:restartNumberingAfterBreak="0">
    <w:nsid w:val="0A2900F7"/>
    <w:multiLevelType w:val="multilevel"/>
    <w:tmpl w:val="734A590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89D64F3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C38C6A7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7B0CE02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682CEDC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26AE26D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D212A48A"/>
    <w:name w:val="ListNumber2Numbering"/>
    <w:lvl w:ilvl="0">
      <w:start w:val="1"/>
      <w:numFmt w:val="decimal"/>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A38EF53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C8DFDF8"/>
    <w:multiLevelType w:val="multilevel"/>
    <w:tmpl w:val="1E2CF21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DB78312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D16EFC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4326741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29F649C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F54270E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A39298E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63DF"/>
    <w:multiLevelType w:val="multilevel"/>
    <w:tmpl w:val="E37E070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AA9CB50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5DFCE34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43B87FEE"/>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977472E"/>
    <w:multiLevelType w:val="multilevel"/>
    <w:tmpl w:val="6430170A"/>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C65145E"/>
    <w:multiLevelType w:val="multilevel"/>
    <w:tmpl w:val="575E05F4"/>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3"/>
  </w:num>
  <w:num w:numId="3">
    <w:abstractNumId w:val="8"/>
  </w:num>
  <w:num w:numId="4">
    <w:abstractNumId w:val="14"/>
  </w:num>
  <w:num w:numId="5">
    <w:abstractNumId w:val="19"/>
  </w:num>
  <w:num w:numId="6">
    <w:abstractNumId w:val="21"/>
  </w:num>
  <w:num w:numId="7">
    <w:abstractNumId w:val="2"/>
  </w:num>
  <w:num w:numId="8">
    <w:abstractNumId w:val="7"/>
  </w:num>
  <w:num w:numId="9">
    <w:abstractNumId w:val="16"/>
  </w:num>
  <w:num w:numId="10">
    <w:abstractNumId w:val="3"/>
  </w:num>
  <w:num w:numId="11">
    <w:abstractNumId w:val="5"/>
  </w:num>
  <w:num w:numId="12">
    <w:abstractNumId w:val="6"/>
  </w:num>
  <w:num w:numId="13">
    <w:abstractNumId w:val="10"/>
  </w:num>
  <w:num w:numId="14">
    <w:abstractNumId w:val="15"/>
  </w:num>
  <w:num w:numId="15">
    <w:abstractNumId w:val="18"/>
  </w:num>
  <w:num w:numId="16">
    <w:abstractNumId w:val="22"/>
  </w:num>
  <w:num w:numId="17">
    <w:abstractNumId w:val="11"/>
  </w:num>
  <w:num w:numId="18">
    <w:abstractNumId w:val="12"/>
  </w:num>
  <w:num w:numId="19">
    <w:abstractNumId w:val="23"/>
  </w:num>
  <w:num w:numId="20">
    <w:abstractNumId w:val="17"/>
  </w:num>
  <w:num w:numId="21">
    <w:abstractNumId w:val="20"/>
  </w:num>
  <w:num w:numId="22">
    <w:abstractNumId w:val="4"/>
  </w:num>
  <w:num w:numId="23">
    <w:abstractNumId w:val="0"/>
  </w:num>
  <w:num w:numId="24">
    <w:abstractNumId w:val="0"/>
  </w:num>
  <w:num w:numId="25">
    <w:abstractNumId w:val="0"/>
  </w:num>
  <w:num w:numId="26">
    <w:abstractNumId w:val="0"/>
  </w:num>
  <w:num w:numId="27">
    <w:abstractNumId w:val="0"/>
  </w:num>
  <w:num w:numId="28">
    <w:abstractNumId w:val="22"/>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EPKit_DocumentHasBeenSaved" w:val="true"/>
    <w:docVar w:name="LW_ACCOMPAGNANT.CP" w:val="accompagnant le document:"/>
    <w:docVar w:name="LW_CORRIGENDUM" w:val="&lt;UNUSED&gt;"/>
    <w:docVar w:name="LW_COVERPAGE_EXISTS" w:val="True"/>
    <w:docVar w:name="LW_COVERPAGE_GUID" w:val="F7EE7F3E-774B-454D-A346-FDDB8604BB6E"/>
    <w:docVar w:name="LW_COVERPAGE_TYPE" w:val="1"/>
    <w:docVar w:name="LW_CROSSREFERENCE" w:val="{COM(2026) 985 final} - {SEC(2026) 985 final} - {SWD(2026) 985 final} - {SWD(2026) 986 final}"/>
    <w:docVar w:name="LW_DocType" w:val="EUROLOOK"/>
    <w:docVar w:name="LW_EMISSION" w:val="15.9.2026"/>
    <w:docVar w:name="LW_EMISSION_ISODATE" w:val="2026-09-15"/>
    <w:docVar w:name="LW_EMISSION_LOCATION" w:val="STR"/>
    <w:docVar w:name="LW_EMISSION_PREFIX" w:val="Strasbourg,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modifiant le règlement (UE) 2019/1149 instituant l\u8217?Autorité européenne du travail, le règlement (UE) 2016/589 relatif à un réseau européen des services de l\u8217?emploi (EURES), à l\u8217?accès des travailleurs aux services de mobilité et à la poursuite de l\u8217?intégration des marchés du travail et le règlement (UE) nº 1024/2012 concernant la coopération administrative par l\u8217?intermédiaire du système d\u8217?information du marché intérieur, et abrogeant les décisions d\u8217?exécution (UE) 2017/1256, (UE) 2018/170, (UE) 2018/1020 et (UE) 2018/1021 de la Commission"/>
    <w:docVar w:name="LW_PART_NBR" w:val="1"/>
    <w:docVar w:name="LW_PART_NBR_TOTAL" w:val="1"/>
    <w:docVar w:name="LW_REF.INST.NEW" w:val="SWD"/>
    <w:docVar w:name="LW_REF.INST.NEW_ADOPTED" w:val="final"/>
    <w:docVar w:name="LW_REF.INST.NEW_TEXT" w:val="(2026) 9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DOCUMENT DE TRAVAIL DES SERVICES DE LA COMMISSION_x000b__x000b_RÉSUMÉ DU RAPPORT D'ANALYSE D'IMPACT_x000b_"/>
    <w:docVar w:name="LW_TYPEACTEPRINCIPAL.CP" w:val="Proposition de 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39136A9-317D-4346-BCCD-A21041C6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fr-FR" w:eastAsia="nb-NO"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0"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tabs>
        <w:tab w:val="num" w:pos="1911"/>
      </w:tabs>
      <w:ind w:left="1911" w:hanging="709"/>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semiHidden/>
    <w:rPr>
      <w:sz w:val="16"/>
      <w:szCs w:val="16"/>
    </w:rPr>
  </w:style>
  <w:style w:type="paragraph" w:styleId="Revision">
    <w:name w:val="Revision"/>
    <w:hidden/>
    <w:uiPriority w:val="99"/>
    <w:semiHidden/>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Pr>
      <w:sz w:val="20"/>
    </w:rPr>
  </w:style>
  <w:style w:type="paragraph" w:customStyle="1" w:styleId="CharCharChar1">
    <w:name w:val="Char Char Char1"/>
    <w:basedOn w:val="Normal"/>
    <w:link w:val="FootnoteReference"/>
    <w:pPr>
      <w:spacing w:after="160" w:line="240" w:lineRule="exact"/>
    </w:pPr>
    <w:rPr>
      <w:vertAlign w:val="superscript"/>
    </w:rPr>
  </w:style>
  <w:style w:type="character"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EC</ProductCustomizationId>
  <Created>
    <Version>10.0.47989.0</Version>
    <Date>2026-03-02T15:35:59</Date>
    <Language>EN</Language>
    <Note/>
  </Created>
  <DocumentModel>
    <Id>6cbda13a-4db2-46c6-876a-ef72275827ef</Id>
    <Name>Report</Name>
  </DocumentModel>
  <CustomTemplate>
    <Id/>
    <Name/>
  </CustomTemplate>
  <DocumentDate>2026-03-02T15:35:59</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41" ma:contentTypeDescription="Crée un document." ma:contentTypeScope="" ma:versionID="7954a2dfb6683c9d51ed4aa1a0a162f0">
  <xsd:schema xmlns:xsd="http://www.w3.org/2001/XMLSchema" xmlns:xs="http://www.w3.org/2001/XMLSchema" xmlns:p="http://schemas.microsoft.com/office/2006/metadata/properties" xmlns:ns1="http://schemas.microsoft.com/sharepoint/v3" xmlns:ns2="4af8c89d-4332-4d32-84a3-abf4120a8008" xmlns:ns3="9a9637e9-1c11-4ee9-91b8-f060e3608fb2" xmlns:ns4="http://schemas.microsoft.com/sharepoint/v4" targetNamespace="http://schemas.microsoft.com/office/2006/metadata/properties" ma:root="true" ma:fieldsID="ab3cde6fa15935c26728958ff4a7dfb2" ns1:_="" ns2:_="" ns3:_="" ns4:_="">
    <xsd:import namespace="http://schemas.microsoft.com/sharepoint/v3"/>
    <xsd:import namespace="4af8c89d-4332-4d32-84a3-abf4120a8008"/>
    <xsd:import namespace="9a9637e9-1c11-4ee9-91b8-f060e3608fb2"/>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CR" minOccurs="0"/>
                <xsd:element ref="ns3:Notes" minOccurs="0"/>
                <xsd:element ref="ns3:Author0" minOccurs="0"/>
                <xsd:element ref="ns2:EC_ARES_NUMBER" minOccurs="0"/>
                <xsd:element ref="ns2:EC_ARES_DATE_TRANSFERRED" minOccurs="0"/>
                <xsd:element ref="ns2:EC_ARES_TRANSFERRED_BY" minOccurs="0"/>
                <xsd:element ref="ns4:IconOverlay" minOccurs="0"/>
                <xsd:element ref="ns1:_vti_ItemDeclaredRecord" minOccurs="0"/>
                <xsd:element ref="ns1:_vti_ItemHoldRecordStatus" minOccurs="0"/>
                <xsd:element ref="ns3:_Flow_SignoffStatus" minOccurs="0"/>
                <xsd:element ref="ns3:Status" minOccurs="0"/>
                <xsd:element ref="ns3:Team" minOccurs="0"/>
                <xsd:element ref="ns3:Typeoffile" minOccurs="0"/>
                <xsd:element ref="ns3:Dateoftheevent" minOccurs="0"/>
                <xsd:element ref="ns3:Personincharge" minOccurs="0"/>
                <xsd:element ref="ns3:MediaServiceBillingMetadata" minOccurs="0"/>
                <xsd:element ref="ns3:_ApprovalAssignedTo" minOccurs="0"/>
                <xsd:element ref="ns3:_ApprovalRespondedBy" minOccurs="0"/>
                <xsd:element ref="ns3:_ApprovalSentBy" minOccurs="0"/>
                <xsd:element ref="ns3:_ApprovalStatus" minOccurs="0"/>
                <xsd:element ref="ns3:File_x0020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Enregistrement déclaré" ma:hidden="true" ma:internalName="_vti_ItemDeclaredRecord" ma:readOnly="true">
      <xsd:simpleType>
        <xsd:restriction base="dms:DateTime"/>
      </xsd:simpleType>
    </xsd:element>
    <xsd:element name="_vti_ItemHoldRecordStatus" ma:index="30" nillable="true" ma:displayName="État de conservation et d’enregistrement"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5d8abff0-5bf6-4648-a74d-0962c907dae0}"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Notes" ma:index="23" nillable="true" ma:displayName="Notes" ma:format="Dropdown" ma:internalName="Notes">
      <xsd:simpleType>
        <xsd:restriction base="dms:Note">
          <xsd:maxLength value="255"/>
        </xsd:restriction>
      </xsd:simpleType>
    </xsd:element>
    <xsd:element name="Author0" ma:index="24" nillable="true" ma:displayName="Author" ma:description="Author of the document"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31" nillable="true" ma:displayName="État de validation" ma:format="Dropdown" ma:internalName="_x0024_Resources_x003a_core_x002c_Signoff_Status">
      <xsd:simpleType>
        <xsd:restriction base="dms:Text">
          <xsd:maxLength value="255"/>
        </xsd:restriction>
      </xsd:simpleType>
    </xsd:element>
    <xsd:element name="Status" ma:index="32" nillable="true" ma:displayName="Status" ma:description="Always indicate if the status is final" ma:format="RadioButtons" ma:internalName="Status">
      <xsd:simpleType>
        <xsd:restriction base="dms:Choice">
          <xsd:enumeration value="Final"/>
          <xsd:enumeration value="Ongoing"/>
          <xsd:enumeration value="draft"/>
          <xsd:enumeration value="unknown"/>
          <xsd:enumeration value="under approval"/>
        </xsd:restriction>
      </xsd:simpleType>
    </xsd:element>
    <xsd:element name="Team" ma:index="33" nillable="true" ma:displayName="Team" ma:description="Specify which team in E1 -PES, Legal, ELA, Financial, Europass, ESCO, EURES" ma:format="Dropdown" ma:internalName="Team">
      <xsd:complexType>
        <xsd:complexContent>
          <xsd:extension base="dms:MultiChoice">
            <xsd:sequence>
              <xsd:element name="Value" maxOccurs="unbounded" minOccurs="0" nillable="true">
                <xsd:simpleType>
                  <xsd:restriction base="dms:Choice">
                    <xsd:enumeration value="PES"/>
                    <xsd:enumeration value="Legal"/>
                    <xsd:enumeration value="ELA"/>
                    <xsd:enumeration value="ESCO"/>
                    <xsd:enumeration value="EURES"/>
                    <xsd:enumeration value="Europass"/>
                    <xsd:enumeration value="Financial"/>
                    <xsd:enumeration value="Secretariat"/>
                    <xsd:enumeration value="Management"/>
                    <xsd:enumeration value="All Unit"/>
                    <xsd:enumeration value="Posting"/>
                  </xsd:restriction>
                </xsd:simpleType>
              </xsd:element>
            </xsd:sequence>
          </xsd:extension>
        </xsd:complexContent>
      </xsd:complexType>
    </xsd:element>
    <xsd:element name="Typeoffile" ma:index="34" nillable="true" ma:displayName="Type of file" ma:description="It is like the main folder where you used to store files. It is a briefing. a file related to a meeting. Choose the appropriate tags. You can even combine more of them to be more precise. " ma:format="Dropdown" ma:internalName="Typeoffile">
      <xsd:complexType>
        <xsd:complexContent>
          <xsd:extension base="dms:MultiChoiceFillIn">
            <xsd:sequence>
              <xsd:element name="Value" maxOccurs="unbounded" minOccurs="0" nillable="true">
                <xsd:simpleType>
                  <xsd:union memberTypes="dms:Text">
                    <xsd:simpleType>
                      <xsd:restriction base="dms:Choice">
                        <xsd:enumeration value="Ares"/>
                        <xsd:enumeration value="Basis"/>
                        <xsd:enumeration value="Briefing outside Basis"/>
                        <xsd:enumeration value="ISC reply"/>
                        <xsd:enumeration value="ISC launched"/>
                        <xsd:enumeration value="Meeting"/>
                        <xsd:enumeration value="Ease (access to docs)"/>
                        <xsd:enumeration value="CPLTs &amp; INFRs"/>
                        <xsd:enumeration value="Procedures"/>
                        <xsd:enumeration value="Translation"/>
                        <xsd:enumeration value="E- DOMEC"/>
                        <xsd:enumeration value="HR"/>
                        <xsd:enumeration value="Missions"/>
                        <xsd:enumeration value="Office matters"/>
                        <xsd:enumeration value="Forecast"/>
                        <xsd:enumeration value="Report"/>
                        <xsd:enumeration value="organisation"/>
                        <xsd:enumeration value="Presentation"/>
                        <xsd:enumeration value="Minutes"/>
                        <xsd:enumeration value="Choice 20"/>
                      </xsd:restriction>
                    </xsd:simpleType>
                  </xsd:union>
                </xsd:simpleType>
              </xsd:element>
            </xsd:sequence>
          </xsd:extension>
        </xsd:complexContent>
      </xsd:complexType>
    </xsd:element>
    <xsd:element name="Dateoftheevent" ma:index="35" nillable="true" ma:displayName="Date of the event" ma:description="If multiple days, just enter the 1st day. " ma:format="DateOnly" ma:internalName="Dateoftheevent">
      <xsd:simpleType>
        <xsd:restriction base="dms:DateTime"/>
      </xsd:simpleType>
    </xsd:element>
    <xsd:element name="Personincharge" ma:index="36" nillable="true" ma:displayName="Person in charge" ma:format="Dropdown" ma:list="UserInfo" ma:SharePointGroup="0" ma:internalName="Personincharg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7" nillable="true" ma:displayName="MediaServiceBillingMetadata" ma:hidden="true" ma:internalName="MediaServiceBillingMetadata" ma:readOnly="true">
      <xsd:simpleType>
        <xsd:restriction base="dms:Note"/>
      </xsd:simpleType>
    </xsd:element>
    <xsd:element name="_ApprovalAssignedTo" ma:index="3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1" nillable="true" ma:displayName="Approval status" ma:internalName="_ApprovalStatus" ma:readOnly="true">
      <xsd:simpleType>
        <xsd:restriction base="dms:Unknown"/>
      </xsd:simpleType>
    </xsd:element>
    <xsd:element name="File_x0020_location" ma:index="42" nillable="true" ma:displayName="File location" ma:internalName="File_x0020_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am xmlns="9a9637e9-1c11-4ee9-91b8-f060e3608fb2" xsi:nil="true"/>
    <Typeoffile xmlns="9a9637e9-1c11-4ee9-91b8-f060e3608fb2" xsi:nil="true"/>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IconOverlay xmlns="http://schemas.microsoft.com/sharepoint/v4" xsi:nil="true"/>
    <Personincharge xmlns="9a9637e9-1c11-4ee9-91b8-f060e3608fb2">
      <UserInfo>
        <DisplayName/>
        <AccountId xsi:nil="true"/>
        <AccountType/>
      </UserInfo>
    </Personincharge>
    <EC_ARES_NUMBER xmlns="4af8c89d-4332-4d32-84a3-abf4120a8008">
      <Url xsi:nil="true"/>
      <Description xsi:nil="true"/>
    </EC_ARES_NUMBER>
    <Notes xmlns="9a9637e9-1c11-4ee9-91b8-f060e3608fb2">ready for ISC</Notes>
    <Status xmlns="9a9637e9-1c11-4ee9-91b8-f060e3608fb2" xsi:nil="true"/>
    <Dateoftheevent xmlns="9a9637e9-1c11-4ee9-91b8-f060e3608fb2" xsi:nil="true"/>
    <EC_ARES_TRANSFERRED_BY xmlns="4af8c89d-4332-4d32-84a3-abf4120a8008" xsi:nil="true"/>
    <EC_ARES_DATE_TRANSFERRED xmlns="4af8c89d-4332-4d32-84a3-abf4120a8008" xsi:nil="true"/>
    <TaxCatchAll xmlns="4af8c89d-4332-4d32-84a3-abf4120a8008" xsi:nil="true"/>
    <Author0 xmlns="9a9637e9-1c11-4ee9-91b8-f060e3608fb2">
      <UserInfo>
        <DisplayName/>
        <AccountId xsi:nil="true"/>
        <AccountType/>
      </UserInfo>
    </Author0>
    <_Flow_SignoffStatus xmlns="9a9637e9-1c11-4ee9-91b8-f060e3608fb2" xsi:nil="true"/>
    <File_x0020_location xmlns="9a9637e9-1c11-4ee9-91b8-f060e3608fb2" xsi:nil="true"/>
    <_ApprovalAssignedTo xmlns="9a9637e9-1c11-4ee9-91b8-f060e3608fb2">
      <UserInfo>
        <DisplayName/>
        <AccountId xsi:nil="true"/>
        <AccountType/>
      </UserInfo>
    </_ApprovalAssignedTo>
    <_ApprovalSentBy xmlns="9a9637e9-1c11-4ee9-91b8-f060e3608fb2">
      <UserInfo>
        <DisplayName/>
        <AccountId xsi:nil="true"/>
        <AccountType/>
      </UserInfo>
    </_ApprovalSentBy>
    <_ApprovalRespondedBy xmlns="9a9637e9-1c11-4ee9-91b8-f060e3608fb2">
      <UserInfo>
        <DisplayName/>
        <AccountId xsi:nil="true"/>
        <AccountType/>
      </UserInfo>
    </_ApprovalRespondedBy>
    <_ApprovalStatus xmlns="9a9637e9-1c11-4ee9-91b8-f060e3608fb2">0</_ApprovalStatus>
  </documentManagement>
</p:properties>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Author Role="Creator" AuthorRoleName="Writer" AuthorRoleDisplayName="Writer" AuthorRoleId="a4fbaff4-b07c-48b4-a21e-e7b9eedf3796">
  <Id>cd324ad1-8d87-4235-884f-bf1f9891305e</Id>
  <Names>
    <Latin>
      <FirstName>Kristian</FirstName>
      <LastName>MYKLATUN</LastName>
    </Latin>
    <Greek>
      <FirstName/>
      <LastName/>
    </Greek>
    <Cyrillic>
      <FirstName/>
      <LastName/>
    </Cyrillic>
    <DocumentScript>
      <FirstName>Kristian</FirstName>
      <LastName>MYKLATUN</LastName>
      <FullName>Kristian MYKLATUN</FullName>
    </DocumentScript>
  </Names>
  <Initials>KM</Initials>
  <Gender>m</Gender>
  <Email>Kristian.MYKLATUN@ec.europa.eu</Email>
  <Service>EMPL.E.1</Service>
  <Function ADCode="" ShowInSignature="true" ShowInHeader="false" HeaderText=""/>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1c32007f-6a74-4382-b822-f2747f5d8bac</Id>
    <LogicalLevel>2</LogicalLevel>
    <Name>EMPL.E</Name>
    <HeadLine1>Labour Mobility and International Affairs</HeadLine1>
    <HeadLine2/>
    <PrimaryAddressId>f03b5801-04c9-4931-aa17-c6d6c70bc579</PrimaryAddressId>
    <SecondaryAddressId/>
    <WebAddress/>
    <InheritedWebAddress>http://europa.eu</InheritedWebAddress>
    <ShowInHeader>true</ShowInHeader>
  </OrgaEntity2>
  <OrgaEntity3>
    <Id>ef1a84a6-4aa5-4595-b11c-98c368147b15</Id>
    <LogicalLevel>3</LogicalLevel>
    <Name>EMPL.E.1</Name>
    <HeadLine1>Labour Mobility, Public Employment Services, ELA</HeadLine1>
    <HeadLine2/>
    <PrimaryAddressId>f03b5801-04c9-4931-aa17-c6d6c70bc579</PrimaryAddressId>
    <SecondaryAddressId/>
    <WebAddress/>
    <InheritedWebAddress>http://europa.eu</InheritedWebAddress>
    <ShowInHeader>true</ShowInHeader>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1c32007f-6a74-4382-b822-f2747f5d8bac</Id>
      <LogicalLevel>2</LogicalLevel>
      <Name>EMPL.E</Name>
      <HeadLine1>Labour Mobility and International Affairs</HeadLine1>
      <HeadLine2/>
      <PrimaryAddressId>f03b5801-04c9-4931-aa17-c6d6c70bc579</PrimaryAddressId>
      <SecondaryAddressId/>
      <WebAddress/>
      <InheritedWebAddress>http://europa.eu</InheritedWebAddress>
      <ShowInHeader>true</ShowInHeader>
    </OrgaEntity>
    <OrgaEntity>
      <Id>ef1a84a6-4aa5-4595-b11c-98c368147b15</Id>
      <LogicalLevel>3</LogicalLevel>
      <Name>EMPL.E.1</Name>
      <HeadLine1>Labour Mobility, Public Employment Services, ELA</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 1049 Bruxelles, BELGIQUE — Tél. +32 22991111</Footer>
    </Address>
  </Addresses>
  <JobAssignmentId/>
  <MainWorkplace IsMain="true">
    <AddressId>f03b5801-04c9-4931-aa17-c6d6c70bc579</AddressId>
    <Fax/>
    <Phone>+32 229-68180</Phone>
    <Office>CO46 06/DCS</Office>
  </MainWorkplace>
  <Workplaces>
    <Workplace IsMain="true">
      <AddressId>f03b5801-04c9-4931-aa17-c6d6c70bc579</AddressId>
      <Fax/>
      <Phone>+32 229-68180</Phone>
      <Office>CO46 06/DCS</Office>
    </Workplace>
  </Workplaces>
</Author>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18AB7E34-B079-4B25-A661-924A1D02D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f8c89d-4332-4d32-84a3-abf4120a8008"/>
    <ds:schemaRef ds:uri="9a9637e9-1c11-4ee9-91b8-f060e3608fb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11BB2-D23A-41E0-BC0B-26FC1C82063D}">
  <ds:schemaRefs>
    <ds:schemaRef ds:uri="http://schemas.microsoft.com/office/2006/metadata/properties"/>
    <ds:schemaRef ds:uri="http://schemas.microsoft.com/office/infopath/2007/PartnerControls"/>
    <ds:schemaRef ds:uri="9a9637e9-1c11-4ee9-91b8-f060e3608fb2"/>
    <ds:schemaRef ds:uri="http://schemas.microsoft.com/sharepoint/v4"/>
    <ds:schemaRef ds:uri="4af8c89d-4332-4d32-84a3-abf4120a8008"/>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FFE4E45B-DEA9-44D5-A8CC-A607B546AB0F}">
  <ds:schemaRefs/>
</ds:datastoreItem>
</file>

<file path=customXml/itemProps6.xml><?xml version="1.0" encoding="utf-8"?>
<ds:datastoreItem xmlns:ds="http://schemas.openxmlformats.org/officeDocument/2006/customXml" ds:itemID="{CD0CAF12-5C4A-43DB-B95F-84FE4DF9EDCB}">
  <ds:schemaRefs>
    <ds:schemaRef ds:uri="http://schemas.openxmlformats.org/officeDocument/2006/bibliography"/>
  </ds:schemaRefs>
</ds:datastoreItem>
</file>

<file path=customXml/itemProps7.xml><?xml version="1.0" encoding="utf-8"?>
<ds:datastoreItem xmlns:ds="http://schemas.openxmlformats.org/officeDocument/2006/customXml" ds:itemID="{1C7ED299-1F8B-4835-8DDB-90339724FB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2463</Words>
  <Characters>14042</Characters>
  <Application>Microsoft Office Word</Application>
  <DocSecurity>0</DocSecurity>
  <PresentationFormat>Microsoft Word 14.0</PresentationFormat>
  <Lines>117</Lines>
  <Paragraphs>32</Paragraphs>
  <ScaleCrop>true</ScaleCrop>
  <Manager/>
  <Company/>
  <LinksUpToDate>false</LinksUpToDate>
  <CharactersWithSpaces>16473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staff working document</dc:title>
  <dc:subject/>
  <dc:creator/>
  <cp:keywords/>
  <dc:description/>
  <cp:lastModifiedBy>SVC-T1-CODE-PRD</cp:lastModifiedBy>
  <cp:revision>12</cp:revision>
  <dcterms:created xsi:type="dcterms:W3CDTF">2026-08-19T09:47:00Z</dcterms:created>
  <dcterms:modified xsi:type="dcterms:W3CDTF">2026-09-24T12:57:00Z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2026-03-02T15:23:32Z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d48a49ec-e1fb-44d4-b27b-03bdfb9d8a43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_LW_INVALIDATED_EurolookVersion">
    <vt:lpwstr>10.0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CP-027</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ContentTypeId">
    <vt:lpwstr>0x0101007697B7BFF882854783B2AFEB81A9CCE9</vt:lpwstr>
  </property>
  <property fmtid="{D5CDD505-2E9C-101B-9397-08002B2CF9AE}" pid="20" name="MSIP_Label_14a56b3c-c161-417d-8323-6a774e35de8e_Enabled">
    <vt:lpwstr>true</vt:lpwstr>
  </property>
  <property fmtid="{D5CDD505-2E9C-101B-9397-08002B2CF9AE}" pid="21" name="MSIP_Label_14a56b3c-c161-417d-8323-6a774e35de8e_SetDate">
    <vt:lpwstr>2026-05-28T08:34:50Z</vt:lpwstr>
  </property>
  <property fmtid="{D5CDD505-2E9C-101B-9397-08002B2CF9AE}" pid="22" name="MSIP_Label_14a56b3c-c161-417d-8323-6a774e35de8e_Method">
    <vt:lpwstr>Standard</vt:lpwstr>
  </property>
  <property fmtid="{D5CDD505-2E9C-101B-9397-08002B2CF9AE}" pid="23" name="MSIP_Label_14a56b3c-c161-417d-8323-6a774e35de8e_Name">
    <vt:lpwstr>ELA Use</vt:lpwstr>
  </property>
  <property fmtid="{D5CDD505-2E9C-101B-9397-08002B2CF9AE}" pid="24" name="MSIP_Label_14a56b3c-c161-417d-8323-6a774e35de8e_SiteId">
    <vt:lpwstr>ba8252eb-da41-4a26-8f37-3320ef9a2285</vt:lpwstr>
  </property>
  <property fmtid="{D5CDD505-2E9C-101B-9397-08002B2CF9AE}" pid="25" name="MSIP_Label_14a56b3c-c161-417d-8323-6a774e35de8e_ActionId">
    <vt:lpwstr>0cb56b29-ae68-46eb-bcbb-bef349eb9690</vt:lpwstr>
  </property>
  <property fmtid="{D5CDD505-2E9C-101B-9397-08002B2CF9AE}" pid="26" name="MSIP_Label_14a56b3c-c161-417d-8323-6a774e35de8e_ContentBits">
    <vt:lpwstr>0</vt:lpwstr>
  </property>
  <property fmtid="{D5CDD505-2E9C-101B-9397-08002B2CF9AE}" pid="27" name="MSIP_Label_14a56b3c-c161-417d-8323-6a774e35de8e_Tag">
    <vt:lpwstr>10, 3, 0, 1</vt:lpwstr>
  </property>
</Properties>
</file>